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40" w:rsidRDefault="00260A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0A40" w:rsidRDefault="00260A4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60A40" w:rsidRDefault="00E639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260A40" w:rsidRDefault="00260A40">
      <w:pPr>
        <w:jc w:val="center"/>
        <w:rPr>
          <w:rFonts w:ascii="Arial" w:hAnsi="Arial" w:cs="Arial"/>
          <w:b/>
          <w:sz w:val="32"/>
          <w:szCs w:val="32"/>
        </w:rPr>
      </w:pPr>
    </w:p>
    <w:p w:rsidR="00260A40" w:rsidRDefault="00260A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72115" w:rsidRPr="00260A40">
        <w:rPr>
          <w:rFonts w:ascii="Arial" w:hAnsi="Arial" w:cs="Arial"/>
          <w:b/>
          <w:sz w:val="32"/>
          <w:szCs w:val="32"/>
          <w:lang w:eastAsia="ru-RU"/>
        </w:rPr>
        <w:pict>
          <v:shape id="_x0000_i0" o:spid="_x0000_i1025" type="#_x0000_t75" style="width:235.85pt;height:235.8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260A40" w:rsidRDefault="00260A4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260A40">
        <w:rPr>
          <w:rFonts w:ascii="Arial" w:hAnsi="Arial" w:cs="Arial"/>
          <w:sz w:val="26"/>
          <w:szCs w:val="26"/>
        </w:rPr>
        <w:pict>
          <v:shape id="_x0000_s1027" type="#_x0000_t75" style="position:absolute;left:0;text-align:left;margin-left:0;margin-top:0;width:50pt;height:50pt;z-index:251658240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F72115" w:rsidRPr="00260A40">
        <w:rPr>
          <w:rFonts w:ascii="Arial" w:hAnsi="Arial" w:cs="Arial"/>
          <w:sz w:val="26"/>
          <w:szCs w:val="26"/>
        </w:rPr>
        <w:pict>
          <v:shape id="_x0000_i1026" type="#_x0000_t75" style="width:468pt;height:122.9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260A40" w:rsidRDefault="00260A40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0A40" w:rsidRDefault="00260A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A40" w:rsidRDefault="00260A40">
      <w:pPr>
        <w:spacing w:after="0"/>
        <w:rPr>
          <w:rFonts w:ascii="Times New Roman" w:hAnsi="Times New Roman" w:cs="Times New Roman"/>
          <w:sz w:val="28"/>
          <w:szCs w:val="28"/>
        </w:rPr>
        <w:sectPr w:rsidR="00260A4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260A40" w:rsidRDefault="00E6390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lastRenderedPageBreak/>
        <w:t xml:space="preserve">Единый перечень прав, льгот, социальных гарантий  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к постановлению  Правительства автономного округа </w:t>
      </w:r>
    </w:p>
    <w:p w:rsidR="00260A40" w:rsidRDefault="00E63904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10 февраля 2023 года № 51-п</w:t>
      </w:r>
    </w:p>
    <w:p w:rsidR="00260A40" w:rsidRDefault="00260A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3572"/>
        <w:gridCol w:w="4195"/>
        <w:gridCol w:w="3005"/>
        <w:gridCol w:w="2721"/>
      </w:tblGrid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гражданам, являющимся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13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14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или 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имеются вступившие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законную силу решения суда по одной из указанных статей Уголовного </w:t>
            </w:r>
            <w:hyperlink r:id="rId15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февраля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также - граждане, контракт о прохождении военно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жительства в автономном округе, призванных Военным комиссариато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граждане, заключ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ившие контракт о добровольном содействии);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имеющих гражданство Российской Федерации и место жительства в автономном округе, принимающих (принимавших)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специальной военной операции и являющихся военнослужащими и сотрудниками федеральных органов исп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(подданство)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автономный округ, поступивших после 31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года на военную службу по контракту о прохождении военной службы и направленных для выполнения задач в ходе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16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Вооруженные Силы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17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18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заключившие контракт о прохождении военной службы;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500 000 рублей гражданам, заключившим контракт о прохождении военной службы, мобилизованным гражданам, гражданам, заключившим контракт о добровольном содействии, сотрудникам федерал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полиции, гражданам Российской Федерации, поступившим после 23 февраля 2022 года на военную службу по контрак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 в Вооруженные Силы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Федерации через военные комиссариаты или пункты отбора на военную службу по контракту иных субъектов Российской Федерации (далее в настоящей строке - граждане, заключившие контракт о прохождении военной службы через иные 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бъекты Российской Федерации), получившим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получившие ранение (контузию, травму, увечье) в ходе проведения специальной военной операции: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дении военной службы;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том числе на день получения ранения (контузии, травмы, увечья), из числа ветеранов боевых действий,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федеральных ведомст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ветеранов боевых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действий, лиц, проходящих службу в войсках национальной гвардии Российской Федерации и имеющих специальное звание полиции, граждан Российской Федерации, поступивших после 23 февраля 2022 года на военную службу по контракту в Вооруженные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Силы Российской Федерации через военные комиссариаты или пункты отбора на военную службу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Народной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еспублики и Украины (далее в настоящей строке - участники специальной военной операции), членам их семей, проживающим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автономном округе, в том числе на день гибели (смерти) указанных лиц (далее в настоящей строке - члены семей погибших участников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участников специальной военной операции в равных долях на каждого: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еля, не лишенного родительских прав;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ребенка (детей), в том числе совершеннолетнего.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полнородным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неполнородным братьям и сестрам погибшего участника специальной военной операции, а при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родителей,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наступления его совершеннолетия, при условии подтверждения указанного факта структурным подразделением Департамента социального развития автономного округа - управлением социальной защиты населения, опеки и попечительства по месту жительства погибшего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на оплату жилого помещения и коммунальных услуг семьям граждан 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супруга (супруг), состоящая (состоящий) в зарегистрированном браке с гражданином, заключившим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 о прохождении военной службы или о добровольном содействии, мобилизованным гражданином;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ребенок, не достигший возраста 18 лет или старше этого возраста, если он стал инвалидом до достижения им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зраста 18 лет, а также ребенок, обучающийся в образовательной организации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очной форме обучения,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на газификацию жилых помещений в размере планируемых расходов, но не более 100 000 рублей гражданам,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выплата семьям, имеющим детей, поступа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ющих на обучение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образовательным программам высшего образования (программам бакалавриата и программам специалитета), один из родителей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семья поступающего на обучение ребенка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зрастом до 21 года по образовательной 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высшего образования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период частичной мобилизации, действия военного положения или по контракту, заключенному в соответствии с </w:t>
            </w:r>
            <w:hyperlink r:id="rId19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ключившими контракт о добровольном содействии в выполнении задач, возложенных на Вооруженные Силы Российской Федерации;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федеральных органов исполнительной власти и федеральных государственных органов, в которых федеральным законом предусмотрен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военная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служба, сотрудниками органов внутренних дел Российской Федерации,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казенное учреждение автономного округа "Агентство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числа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(принима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социальных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услуг в форме социального обслуживания на дому и в полустационарной форме социального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принимавшие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 на территориях Украины, Донецкой Народной Республики, Луганс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кой Народной Республики, Запорожской, Херсонской областей (далее - специальная военная операция) и заключившие контракт о прохождении военной службы для участия в выполнении задач в ходе специальной военной операции, либо призванные на военную службу по 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стичной мобилизации в Вооруженные Силы Российской Федерации, либо заключившие контракт о добровольном содействии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полнительной власти и федеральных государственных органов, в которых федеральным законодательством предусмотрена военная служба, сотрудниками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внутренних дел Российской Федерации либо участвующие в выполнении задач в районах боевых действий на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основаниях (далее - участники специальной военной операции);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  <w:hyperlink r:id="rId20" w:tooltip="https://login.consultant.ru/link/?req=doc&amp;base=RLAW926&amp;n=289147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Правительства автономного округа от 6 сентября 2014 года № 326-п «О порядке предоставления социальных услуг поставщика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 социальных услуг в Ханты-Мансийском автономном округе - Югре», </w:t>
            </w:r>
            <w:hyperlink r:id="rId21" w:tooltip="https://login.consultant.ru/link/?req=doc&amp;base=RLAW926&amp;n=276923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</w:t>
              </w:r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ие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Югре предоставляются бесплатно, и признании утратившими силу некоторых постановлений Правительства Ханты-Мансийского автономного округа - Югры»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сопровождение в автономном округе граждан Российской Федерации, заключивших с Министерством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Вооруженные Силы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Российской Федерации,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полиции, принимающие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специальной военной операции, получи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медицинские учреждения автономного округа;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автономного округа;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  <w:hyperlink r:id="rId22" w:tooltip="https://login.consultant.ru/link/?req=doc&amp;base=RLAW926&amp;n=288642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683-рп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о прохождении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военной службы или в добровольном порядке договор для выполнения задач в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>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Российской Федерации, ветеранов боевых действий, лиц, проходящих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в войсках национальной гвардии Российской Федерации и имеющих специальное звание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полиции, принимающих участие в специальной военной операции, получивших ранения (контузии, травмы, увечья), и членов их семей»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раждане, поступившие с 1 января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150 000 рублей гражданам, заключившим контракт о прохождении военной службы, проходящим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военную службу по состоянию на 15 сентября 2023 года, - каждый первый месяц двухмесячного периода прохождения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 для выполнения задач специальной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граждане, заключившие контракт о прохождении военной службы, продолжающие прохождение военной службы по контракту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Вооруженных Силах Российской Федерации в соответствии с </w:t>
            </w:r>
            <w:hyperlink r:id="rId23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</w:t>
              </w:r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дел I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лужбы,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кпостановлению  Правительства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двухразового питания в учебное время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обучающиеся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образовательным программам среднего профессионального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образования, программам профессиональной подготовки по профессиям рабочих, должностям служащих в государственных образовательных организациях, находящихся в ведении исполнительных органов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округа, частных профессиональных образовательных организациях, расположенных в автономном округе, государственных образовательных организациях, осуществляющих образовательную деятельность по основным общеобразовательным программам начального общего, основн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общего и среднего общего образования,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организаций, частных общеобразовательных организаций, относящиеся к категориям членов семей участников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государственные образовательные организации,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находящиеся в ведении исполнительных органов автономного округа, частные профессиональные образовательные организации, расположенные в автономном округе, государственные образовательные организации, осуществля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ющие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тельными программами основного общего и среднего общего образования, муниципальные общеобразовательные организации, частные общеобразовательные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февраля 2023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родителей (законных представителей) или отчим, мачеха, не состоящие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органов, в которых федеральным законом предусмотрена военная служба, сотрудниками органов внутр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енних дел Российской Федерации,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уголовно-исполнительной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(службы), либо если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 из родителей (законных представителей) или отчим, мачеха, не состоящие в браке брат, сестра ребенка (детей) призваны на военную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службу по частичной мобилизации в Вооруженные Силы Российской Федерации, в том числе погибли (умерли) при исполнении обязанн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III. В СФЕРЕ ЗДРАВООХРАНЕНИЯ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Первичная медико-санитарная и специализированная медицинская помощь,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 высокотехнологичная медицинская помощь, санаторно-курортное лечение и медицинская реабилитация граждан, имеющих медицинские показания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имеющие медицинские показания и проживающие в автономном округе, направленные для обеспечения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  <w:hyperlink r:id="rId24" w:tooltip="https://login.consultant.ru/link/?req=doc&amp;base=RLAW926&amp;n=288566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754-п «О Территориальной программе государственных гарантий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бесплатного оказания гражданам медицинской помощи в Ханты-Мансийском автономном округе - Югре на 2023 год и на плановый период 2024 и 2025 годов»</w:t>
            </w: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IV. В СФЕРЕ ТРУДА И ЗАНЯТОСТИ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 занятости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A40" w:rsidRDefault="00E6390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начисления пеней в случае несвоевременного и (или) неполного внесения платы за жилое помещение и коммуна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льные услуги, взноса на капитальный ремонт общего имущества в многоквартирном доме, установленных жилищным законодательством Российской 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Российской Федерации, указанные в </w:t>
            </w:r>
            <w:hyperlink r:id="rId25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получающие плату за жилое помещение и коммунальные услуги, взносы на капитальный ремон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общего 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  <w:hyperlink r:id="rId26" w:tooltip="https://login.consultant.ru/link/?req=doc&amp;base=RLAW926&amp;n=284275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округа от 9 ноября 2022 года № 153 «О порядке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доме граж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>дан Российской Федерации, указанных в статье 9.1 Федерального закона от 14 марта 2022 года № 58-ФЗ «О внесении изменений в отдельные законодательные акты Российской Федерации», и членов их семей»</w:t>
            </w: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jc w:val="center"/>
              <w:outlineLvl w:val="1"/>
            </w:pPr>
          </w:p>
          <w:p w:rsidR="00260A40" w:rsidRDefault="00E63904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ких формированиях и органах, указанных в </w:t>
            </w:r>
            <w:hyperlink r:id="rId27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нкте 6 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lastRenderedPageBreak/>
                <w:t>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вооруженной пров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находящиеся (находившиеся) на указанных территориях служащие (работники) правоо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призванные на военную службу по частичной мобилизации в Вооруженн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территорию Российской Федерации, в ходе вооруж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контракт (имевшие иные правоотношения) с органи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ходатайствующие о признании вынужденными переселенцами, вынужденные переселенцы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сотрудников органов внутренних дел, войск национальной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вардии, Федеральной службы безопасности, прокуратуры Российской Федерации, Следственного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бороны, чрезвычайным ситуациям и ликвидации последствий стихийных бедствий, погибших при исполнении обязанностей военной службы (служебных обязанностей);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опекуны (попечители), воспитывавшие несовершеннолетних, относившихся к числу детей-сирот, детей, остав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шихся без попечения родителей, до достижения ими совершеннолетия, которые являлись участниками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государственное юридическое бюро автономного округа и адво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VII. В НАЛОГОВОЙ СФЕРЕ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граждане, заключившие контракт о добровольном содействии в выполнении задач, возложенных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  <w:hyperlink r:id="rId28" w:tooltip="https://login.consultant.ru/link/?req=doc&amp;base=RLAW926&amp;n=268073&amp;date=09.11.2023"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Хан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>ты-Мансийском автономном округе - Югре»</w:t>
            </w:r>
          </w:p>
        </w:tc>
      </w:tr>
      <w:tr w:rsidR="00260A40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Раздел VIII. В СФЕРЕ УПРАВЛЕНИЯ ГОСУДАРСТВЕННЫМ ИМУЩЕСТВОМ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bookmarkStart w:id="0" w:name="undefined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Отсрочка внесения платы по договорам аренды государственного имущества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(за исключением жилых помещений жилищного фонда автономного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собственность на которые не разграничена (далее - договор аренды), начисленной за период прохождения гражданами, принимающими (принявшими) 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специальной военной операции, военной службы или оказания ими добровольного содействия в выполнении задач,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260A40" w:rsidRDefault="00E639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котором участник специальной военной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260A40" w:rsidRDefault="00260A4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расторжения договора аренды 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односторонний отказ от исполнения указанного договора без применения штрафных санкций, за исключением договоров аренды земельных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 Правительст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260A40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граждан от начисления пени, штрафов, неустойки, иных санкций за просрочку платежей по договорам купли-продажи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участник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E6390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по управлению государственным имуществом автономного округа;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60A40" w:rsidRDefault="00260A40">
            <w:pPr>
              <w:spacing w:after="0"/>
            </w:pPr>
            <w:hyperlink w:history="1">
              <w:r w:rsidR="00E639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 w:rsidR="00E63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260A40" w:rsidRDefault="00E6390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10 февраля 2023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года № 51-п</w:t>
            </w:r>
          </w:p>
        </w:tc>
      </w:tr>
    </w:tbl>
    <w:p w:rsidR="00260A40" w:rsidRDefault="00260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40" w:rsidRDefault="00260A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A40" w:rsidRDefault="00260A40">
      <w:pPr>
        <w:spacing w:after="0"/>
        <w:rPr>
          <w:rFonts w:ascii="Times New Roman" w:hAnsi="Times New Roman" w:cs="Times New Roman"/>
          <w:sz w:val="28"/>
          <w:szCs w:val="28"/>
        </w:rPr>
        <w:sectPr w:rsidR="00260A40">
          <w:headerReference w:type="default" r:id="rId29"/>
          <w:footerReference w:type="default" r:id="rId30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260A40" w:rsidRDefault="00E63904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МЕРЫПООБЕСПЕЧЕНИЮ ЖИЛЫМИПОМЕЩЕНИЯМИ</w:t>
      </w:r>
    </w:p>
    <w:p w:rsidR="00260A40" w:rsidRDefault="00E63904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69"/>
        <w:gridCol w:w="3685"/>
        <w:gridCol w:w="2693"/>
        <w:gridCol w:w="3118"/>
      </w:tblGrid>
      <w:tr w:rsidR="00260A40">
        <w:trPr>
          <w:trHeight w:val="1149"/>
        </w:trPr>
        <w:tc>
          <w:tcPr>
            <w:tcW w:w="709" w:type="dxa"/>
            <w:noWrap/>
          </w:tcPr>
          <w:p w:rsidR="00260A40" w:rsidRDefault="00E63904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3969" w:type="dxa"/>
            <w:noWrap/>
          </w:tcPr>
          <w:p w:rsidR="00260A40" w:rsidRDefault="00E63904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Мераподдержки</w:t>
            </w:r>
          </w:p>
        </w:tc>
        <w:tc>
          <w:tcPr>
            <w:tcW w:w="3685" w:type="dxa"/>
            <w:noWrap/>
          </w:tcPr>
          <w:p w:rsidR="00260A40" w:rsidRDefault="00E63904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>получателей мерподдержки</w:t>
            </w:r>
          </w:p>
        </w:tc>
        <w:tc>
          <w:tcPr>
            <w:tcW w:w="2693" w:type="dxa"/>
            <w:noWrap/>
          </w:tcPr>
          <w:p w:rsidR="00260A40" w:rsidRDefault="00E63904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z w:val="28"/>
                <w:szCs w:val="28"/>
              </w:rPr>
              <w:t>мерыподдержки</w:t>
            </w:r>
          </w:p>
        </w:tc>
        <w:tc>
          <w:tcPr>
            <w:tcW w:w="3118" w:type="dxa"/>
            <w:noWrap/>
          </w:tcPr>
          <w:p w:rsidR="00260A40" w:rsidRDefault="00E63904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акт,регламентирующийпредоставление мерыподдержки</w:t>
            </w:r>
          </w:p>
        </w:tc>
      </w:tr>
      <w:tr w:rsidR="00260A40">
        <w:trPr>
          <w:trHeight w:val="2759"/>
        </w:trPr>
        <w:tc>
          <w:tcPr>
            <w:tcW w:w="709" w:type="dxa"/>
            <w:noWrap/>
          </w:tcPr>
          <w:p w:rsidR="00260A40" w:rsidRDefault="00E63904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noWrap/>
          </w:tcPr>
          <w:p w:rsidR="00260A40" w:rsidRDefault="00E63904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  <w:noWrap/>
          </w:tcPr>
          <w:p w:rsidR="00260A40" w:rsidRDefault="00E63904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раждане, призванные на военную службу по мобилизации в Вооруженные Силы Российской Федерации, поступившие после 23 февраля 2022 года на </w:t>
            </w:r>
            <w:r>
              <w:rPr>
                <w:sz w:val="28"/>
                <w:szCs w:val="28"/>
              </w:rPr>
              <w:lastRenderedPageBreak/>
              <w:t>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260A40" w:rsidRDefault="00E63904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</w:t>
            </w:r>
            <w:r>
              <w:rPr>
                <w:sz w:val="28"/>
                <w:szCs w:val="28"/>
              </w:rPr>
              <w:lastRenderedPageBreak/>
              <w:t xml:space="preserve">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260A40" w:rsidRDefault="00E63904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выполн</w:t>
            </w:r>
            <w:r>
              <w:rPr>
                <w:sz w:val="28"/>
                <w:szCs w:val="28"/>
              </w:rPr>
              <w:t xml:space="preserve">ениизадач,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ВооруженныеСилыРоссийской Федерации,членыихсемей</w:t>
            </w:r>
          </w:p>
          <w:p w:rsidR="00260A40" w:rsidRDefault="00260A40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noWrap/>
          </w:tcPr>
          <w:p w:rsidR="00260A40" w:rsidRDefault="00E63904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>самоуправлениямуниципальныхобразованийавтономногоокруга</w:t>
            </w:r>
          </w:p>
        </w:tc>
        <w:tc>
          <w:tcPr>
            <w:tcW w:w="3118" w:type="dxa"/>
            <w:noWrap/>
          </w:tcPr>
          <w:p w:rsidR="00260A40" w:rsidRDefault="00E6390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Устанавливаетсянормативнымправовымактоморганаместногосамоуправления</w:t>
            </w:r>
          </w:p>
        </w:tc>
      </w:tr>
      <w:tr w:rsidR="00260A40">
        <w:trPr>
          <w:trHeight w:val="3219"/>
        </w:trPr>
        <w:tc>
          <w:tcPr>
            <w:tcW w:w="709" w:type="dxa"/>
            <w:noWrap/>
          </w:tcPr>
          <w:p w:rsidR="00260A40" w:rsidRDefault="00E63904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noWrap/>
          </w:tcPr>
          <w:p w:rsidR="00260A40" w:rsidRDefault="00E63904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z w:val="28"/>
                <w:szCs w:val="28"/>
              </w:rPr>
              <w:t xml:space="preserve">состоящимнаучетевкачественуждающихсявжилыхпомещениях,предоставляемых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договорамсоциальногонайма,наприобретение(строительство) жилыхпомещений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  <w:noWrap/>
          </w:tcPr>
          <w:p w:rsidR="00260A40" w:rsidRDefault="00260A40"/>
        </w:tc>
        <w:tc>
          <w:tcPr>
            <w:tcW w:w="2693" w:type="dxa"/>
            <w:noWrap/>
          </w:tcPr>
          <w:p w:rsidR="00260A40" w:rsidRDefault="00E63904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самоуправлениямуниципальныхобразованийавтономногоокруга </w:t>
            </w:r>
          </w:p>
        </w:tc>
        <w:tc>
          <w:tcPr>
            <w:tcW w:w="3118" w:type="dxa"/>
            <w:noWrap/>
          </w:tcPr>
          <w:p w:rsidR="00260A40" w:rsidRDefault="00E63904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Устанавливаетсянормативным</w:t>
            </w:r>
            <w:r>
              <w:rPr>
                <w:sz w:val="28"/>
                <w:szCs w:val="28"/>
              </w:rPr>
              <w:t>правовымактоморганаместногосамоуправления</w:t>
            </w:r>
          </w:p>
        </w:tc>
      </w:tr>
      <w:tr w:rsidR="00260A40">
        <w:trPr>
          <w:trHeight w:val="3886"/>
        </w:trPr>
        <w:tc>
          <w:tcPr>
            <w:tcW w:w="709" w:type="dxa"/>
            <w:noWrap/>
          </w:tcPr>
          <w:p w:rsidR="00260A40" w:rsidRDefault="00E63904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69" w:type="dxa"/>
            <w:noWrap/>
          </w:tcPr>
          <w:p w:rsidR="00260A40" w:rsidRDefault="00E63904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впервоочередномпорядке в списокучастниковмероприятия попредоставлениюсубсидии настроительство илиприобретение жилыхпомещенийгражданамиз числа коренныхмалочисленныхнародов Ханты-Мансийского</w:t>
            </w:r>
            <w:r>
              <w:rPr>
                <w:sz w:val="28"/>
                <w:szCs w:val="28"/>
              </w:rPr>
              <w:t>автономного округа –Югры, признанных до31 декабря 2014 годаучастникамиподпрограмм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  <w:noWrap/>
          </w:tcPr>
          <w:p w:rsidR="00260A40" w:rsidRDefault="00260A40"/>
        </w:tc>
        <w:tc>
          <w:tcPr>
            <w:tcW w:w="2693" w:type="dxa"/>
            <w:noWrap/>
          </w:tcPr>
          <w:p w:rsidR="00260A40" w:rsidRDefault="00E63904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  <w:noWrap/>
          </w:tcPr>
          <w:p w:rsidR="00260A40" w:rsidRDefault="00E63904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Порядокпредоставлениясубсидии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>строительство жилыхпомещенийгражданамиз числа коренныхмалочисленныхнародов в автономномокруге,подавшимдо</w:t>
            </w:r>
            <w:r>
              <w:rPr>
                <w:sz w:val="28"/>
                <w:szCs w:val="28"/>
              </w:rPr>
              <w:t xml:space="preserve">31декабря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заявлениянаполучениемер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z w:val="28"/>
                <w:szCs w:val="28"/>
              </w:rPr>
              <w:t>поддержки,утвержденныйпостановлениемПравительстваавтономногоокругао</w:t>
            </w:r>
            <w:r>
              <w:rPr>
                <w:sz w:val="28"/>
                <w:szCs w:val="28"/>
              </w:rPr>
              <w:lastRenderedPageBreak/>
              <w:t xml:space="preserve">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 xml:space="preserve">№643-п«Омерахпо реализациигосударственнойпрограммы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z w:val="28"/>
                <w:szCs w:val="28"/>
              </w:rPr>
              <w:t>Мансийского автономногоокруга–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260A40" w:rsidRDefault="00260A40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260A40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9"/>
        <w:gridCol w:w="3969"/>
        <w:gridCol w:w="3685"/>
        <w:gridCol w:w="2693"/>
        <w:gridCol w:w="3118"/>
      </w:tblGrid>
      <w:tr w:rsidR="00260A40">
        <w:trPr>
          <w:trHeight w:val="910"/>
        </w:trPr>
        <w:tc>
          <w:tcPr>
            <w:tcW w:w="709" w:type="dxa"/>
            <w:noWrap/>
          </w:tcPr>
          <w:p w:rsidR="00260A40" w:rsidRDefault="00E63904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noWrap/>
          </w:tcPr>
          <w:p w:rsidR="00260A40" w:rsidRDefault="00E63904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z w:val="28"/>
                <w:szCs w:val="28"/>
              </w:rPr>
              <w:t>предоставляемойкомпенсации части процентнойставкипо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гражданам,получающимкомпенсацию части процентнойставкизасчётсредствбюджетаавтономногоокруга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  <w:noWrap/>
          </w:tcPr>
          <w:p w:rsidR="00260A40" w:rsidRDefault="00260A40"/>
        </w:tc>
        <w:tc>
          <w:tcPr>
            <w:tcW w:w="2693" w:type="dxa"/>
            <w:noWrap/>
          </w:tcPr>
          <w:p w:rsidR="00260A40" w:rsidRDefault="00E63904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  <w:noWrap/>
          </w:tcPr>
          <w:p w:rsidR="00260A40" w:rsidRDefault="00E63904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Порядокпредоставлениякомпенсации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z w:val="28"/>
                <w:szCs w:val="28"/>
              </w:rPr>
              <w:t xml:space="preserve">процентнойставкипоипотечнымжилищнымкредитам(займам)наприобретение (строительство)жилыхпомещений,утвержденныйпостановлениемПравительстваавтономногоокругаот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№643-п«Омерахпореализациигосударственнойпрог</w:t>
            </w:r>
            <w:r>
              <w:rPr>
                <w:sz w:val="28"/>
                <w:szCs w:val="28"/>
              </w:rPr>
              <w:t>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z w:val="28"/>
                <w:szCs w:val="28"/>
              </w:rPr>
              <w:t>Мансийскогоавтономногоокруга-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260A40" w:rsidRDefault="00260A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260A40" w:rsidSect="00260A40">
      <w:footerReference w:type="default" r:id="rId3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904" w:rsidRDefault="00E63904">
      <w:pPr>
        <w:spacing w:after="0" w:line="240" w:lineRule="auto"/>
      </w:pPr>
      <w:r>
        <w:separator/>
      </w:r>
    </w:p>
  </w:endnote>
  <w:endnote w:type="continuationSeparator" w:id="1">
    <w:p w:rsidR="00E63904" w:rsidRDefault="00E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99753"/>
      <w:showingPlcHdr/>
      <w:docPartObj>
        <w:docPartGallery w:val="Page Numbers (Bottom of Page)"/>
        <w:docPartUnique/>
      </w:docPartObj>
    </w:sdtPr>
    <w:sdtContent>
      <w:p w:rsidR="00260A40" w:rsidRDefault="00E63904">
        <w:r>
          <w:t>    </w:t>
        </w:r>
      </w:p>
    </w:sdtContent>
  </w:sdt>
  <w:p w:rsidR="00260A40" w:rsidRDefault="00260A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rPr>
        <w:sz w:val="1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904" w:rsidRDefault="00E63904">
      <w:pPr>
        <w:spacing w:after="0" w:line="240" w:lineRule="auto"/>
      </w:pPr>
      <w:r>
        <w:separator/>
      </w:r>
    </w:p>
  </w:footnote>
  <w:footnote w:type="continuationSeparator" w:id="1">
    <w:p w:rsidR="00E63904" w:rsidRDefault="00E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pStyle w:val="Header"/>
      <w:jc w:val="center"/>
    </w:pPr>
  </w:p>
  <w:p w:rsidR="00260A40" w:rsidRDefault="00260A40">
    <w:pPr>
      <w:pStyle w:val="Header"/>
      <w:jc w:val="center"/>
    </w:pPr>
  </w:p>
  <w:p w:rsidR="00260A40" w:rsidRDefault="00260A40">
    <w:pPr>
      <w:pStyle w:val="Header"/>
      <w:jc w:val="center"/>
    </w:pPr>
    <w:fldSimple w:instr="PAGE \* MERGEFORMAT">
      <w:r w:rsidR="00F72115">
        <w:rPr>
          <w:noProof/>
        </w:rPr>
        <w:t>2</w:t>
      </w:r>
    </w:fldSimple>
  </w:p>
  <w:p w:rsidR="00260A40" w:rsidRDefault="00260A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pStyle w:val="Header"/>
      <w:jc w:val="center"/>
    </w:pPr>
  </w:p>
  <w:p w:rsidR="00260A40" w:rsidRDefault="00260A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A40" w:rsidRDefault="00260A40">
    <w:pPr>
      <w:pStyle w:val="Header"/>
      <w:jc w:val="center"/>
    </w:pPr>
  </w:p>
  <w:p w:rsidR="00260A40" w:rsidRDefault="00260A40">
    <w:pPr>
      <w:pStyle w:val="Header"/>
      <w:jc w:val="center"/>
    </w:pPr>
  </w:p>
  <w:p w:rsidR="00260A40" w:rsidRDefault="00260A40">
    <w:pPr>
      <w:pStyle w:val="Header"/>
      <w:jc w:val="center"/>
    </w:pPr>
    <w:fldSimple w:instr="PAGE \* MERGEFORMAT">
      <w:r w:rsidR="00F72115">
        <w:rPr>
          <w:noProof/>
        </w:rPr>
        <w:t>35</w:t>
      </w:r>
    </w:fldSimple>
  </w:p>
  <w:p w:rsidR="00260A40" w:rsidRDefault="00260A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E7E"/>
    <w:multiLevelType w:val="hybridMultilevel"/>
    <w:tmpl w:val="F126E53E"/>
    <w:lvl w:ilvl="0" w:tplc="40FEB0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C14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CF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9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0E46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E4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B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0CA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06A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1A2"/>
    <w:multiLevelType w:val="hybridMultilevel"/>
    <w:tmpl w:val="9886FBDE"/>
    <w:lvl w:ilvl="0" w:tplc="21482B1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F4ED76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6C80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9A8A32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A6072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74AD40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1681D4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3305A5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6A68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>
    <w:nsid w:val="20ED54DC"/>
    <w:multiLevelType w:val="hybridMultilevel"/>
    <w:tmpl w:val="973C71A6"/>
    <w:lvl w:ilvl="0" w:tplc="8EFE4E70">
      <w:start w:val="1"/>
      <w:numFmt w:val="upperRoman"/>
      <w:lvlText w:val="%1."/>
      <w:lvlJc w:val="right"/>
      <w:pPr>
        <w:ind w:left="720" w:hanging="360"/>
      </w:pPr>
    </w:lvl>
    <w:lvl w:ilvl="1" w:tplc="70D2B0E6">
      <w:start w:val="1"/>
      <w:numFmt w:val="lowerLetter"/>
      <w:lvlText w:val="%2."/>
      <w:lvlJc w:val="left"/>
      <w:pPr>
        <w:ind w:left="1440" w:hanging="360"/>
      </w:pPr>
    </w:lvl>
    <w:lvl w:ilvl="2" w:tplc="1B2017FA">
      <w:start w:val="1"/>
      <w:numFmt w:val="lowerRoman"/>
      <w:lvlText w:val="%3."/>
      <w:lvlJc w:val="right"/>
      <w:pPr>
        <w:ind w:left="2160" w:hanging="180"/>
      </w:pPr>
    </w:lvl>
    <w:lvl w:ilvl="3" w:tplc="56929984">
      <w:start w:val="1"/>
      <w:numFmt w:val="decimal"/>
      <w:lvlText w:val="%4."/>
      <w:lvlJc w:val="left"/>
      <w:pPr>
        <w:ind w:left="2880" w:hanging="360"/>
      </w:pPr>
    </w:lvl>
    <w:lvl w:ilvl="4" w:tplc="CB0AD9CC">
      <w:start w:val="1"/>
      <w:numFmt w:val="lowerLetter"/>
      <w:lvlText w:val="%5."/>
      <w:lvlJc w:val="left"/>
      <w:pPr>
        <w:ind w:left="3600" w:hanging="360"/>
      </w:pPr>
    </w:lvl>
    <w:lvl w:ilvl="5" w:tplc="DEF2827E">
      <w:start w:val="1"/>
      <w:numFmt w:val="lowerRoman"/>
      <w:lvlText w:val="%6."/>
      <w:lvlJc w:val="right"/>
      <w:pPr>
        <w:ind w:left="4320" w:hanging="180"/>
      </w:pPr>
    </w:lvl>
    <w:lvl w:ilvl="6" w:tplc="81B0A256">
      <w:start w:val="1"/>
      <w:numFmt w:val="decimal"/>
      <w:lvlText w:val="%7."/>
      <w:lvlJc w:val="left"/>
      <w:pPr>
        <w:ind w:left="5040" w:hanging="360"/>
      </w:pPr>
    </w:lvl>
    <w:lvl w:ilvl="7" w:tplc="4FFA97CC">
      <w:start w:val="1"/>
      <w:numFmt w:val="lowerLetter"/>
      <w:lvlText w:val="%8."/>
      <w:lvlJc w:val="left"/>
      <w:pPr>
        <w:ind w:left="5760" w:hanging="360"/>
      </w:pPr>
    </w:lvl>
    <w:lvl w:ilvl="8" w:tplc="DB2A696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5917"/>
    <w:multiLevelType w:val="hybridMultilevel"/>
    <w:tmpl w:val="B164F5D0"/>
    <w:lvl w:ilvl="0" w:tplc="E90C2A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D2A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D08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945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003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AE3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C8F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E47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20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DF120A"/>
    <w:multiLevelType w:val="hybridMultilevel"/>
    <w:tmpl w:val="5C7A2896"/>
    <w:lvl w:ilvl="0" w:tplc="4664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CE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B44F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72D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C5E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724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7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0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C2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0CE6"/>
    <w:multiLevelType w:val="hybridMultilevel"/>
    <w:tmpl w:val="2E167BE8"/>
    <w:lvl w:ilvl="0" w:tplc="D62AB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6A6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5AC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8A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6AE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A3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E2B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8223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701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860A4"/>
    <w:multiLevelType w:val="hybridMultilevel"/>
    <w:tmpl w:val="77E63A12"/>
    <w:lvl w:ilvl="0" w:tplc="1068CDD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0A6B6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582B2B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72E11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FAEDDA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16484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86D1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352607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71E9A7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7">
    <w:nsid w:val="7B8B46E2"/>
    <w:multiLevelType w:val="hybridMultilevel"/>
    <w:tmpl w:val="32287A9A"/>
    <w:lvl w:ilvl="0" w:tplc="C546C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84B470">
      <w:start w:val="1"/>
      <w:numFmt w:val="lowerLetter"/>
      <w:lvlText w:val="%2."/>
      <w:lvlJc w:val="left"/>
      <w:pPr>
        <w:ind w:left="1440" w:hanging="360"/>
      </w:pPr>
    </w:lvl>
    <w:lvl w:ilvl="2" w:tplc="9D48461C">
      <w:start w:val="1"/>
      <w:numFmt w:val="lowerRoman"/>
      <w:lvlText w:val="%3."/>
      <w:lvlJc w:val="right"/>
      <w:pPr>
        <w:ind w:left="2160" w:hanging="180"/>
      </w:pPr>
    </w:lvl>
    <w:lvl w:ilvl="3" w:tplc="FA180C90">
      <w:start w:val="1"/>
      <w:numFmt w:val="decimal"/>
      <w:lvlText w:val="%4."/>
      <w:lvlJc w:val="left"/>
      <w:pPr>
        <w:ind w:left="2880" w:hanging="360"/>
      </w:pPr>
    </w:lvl>
    <w:lvl w:ilvl="4" w:tplc="732CD33E">
      <w:start w:val="1"/>
      <w:numFmt w:val="lowerLetter"/>
      <w:lvlText w:val="%5."/>
      <w:lvlJc w:val="left"/>
      <w:pPr>
        <w:ind w:left="3600" w:hanging="360"/>
      </w:pPr>
    </w:lvl>
    <w:lvl w:ilvl="5" w:tplc="8C2AA6CE">
      <w:start w:val="1"/>
      <w:numFmt w:val="lowerRoman"/>
      <w:lvlText w:val="%6."/>
      <w:lvlJc w:val="right"/>
      <w:pPr>
        <w:ind w:left="4320" w:hanging="180"/>
      </w:pPr>
    </w:lvl>
    <w:lvl w:ilvl="6" w:tplc="A634B9D4">
      <w:start w:val="1"/>
      <w:numFmt w:val="decimal"/>
      <w:lvlText w:val="%7."/>
      <w:lvlJc w:val="left"/>
      <w:pPr>
        <w:ind w:left="5040" w:hanging="360"/>
      </w:pPr>
    </w:lvl>
    <w:lvl w:ilvl="7" w:tplc="74601A4A">
      <w:start w:val="1"/>
      <w:numFmt w:val="lowerLetter"/>
      <w:lvlText w:val="%8."/>
      <w:lvlJc w:val="left"/>
      <w:pPr>
        <w:ind w:left="5760" w:hanging="360"/>
      </w:pPr>
    </w:lvl>
    <w:lvl w:ilvl="8" w:tplc="F7F2C8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A40"/>
    <w:rsid w:val="00260A40"/>
    <w:rsid w:val="00E63904"/>
    <w:rsid w:val="00F7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260A4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260A4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260A4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260A40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260A40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260A4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60A4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60A40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260A4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60A40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260A40"/>
    <w:rPr>
      <w:sz w:val="48"/>
      <w:szCs w:val="48"/>
    </w:rPr>
  </w:style>
  <w:style w:type="character" w:customStyle="1" w:styleId="SubtitleChar">
    <w:name w:val="Subtitle Char"/>
    <w:basedOn w:val="a0"/>
    <w:link w:val="a5"/>
    <w:uiPriority w:val="11"/>
    <w:rsid w:val="00260A40"/>
    <w:rPr>
      <w:sz w:val="24"/>
      <w:szCs w:val="24"/>
    </w:rPr>
  </w:style>
  <w:style w:type="character" w:customStyle="1" w:styleId="QuoteChar">
    <w:name w:val="Quote Char"/>
    <w:link w:val="2"/>
    <w:uiPriority w:val="29"/>
    <w:rsid w:val="00260A40"/>
    <w:rPr>
      <w:i/>
    </w:rPr>
  </w:style>
  <w:style w:type="character" w:customStyle="1" w:styleId="IntenseQuoteChar">
    <w:name w:val="Intense Quote Char"/>
    <w:link w:val="a6"/>
    <w:uiPriority w:val="30"/>
    <w:rsid w:val="00260A40"/>
    <w:rPr>
      <w:i/>
    </w:rPr>
  </w:style>
  <w:style w:type="character" w:customStyle="1" w:styleId="HeaderChar">
    <w:name w:val="Header Char"/>
    <w:basedOn w:val="a0"/>
    <w:link w:val="Header"/>
    <w:uiPriority w:val="99"/>
    <w:rsid w:val="00260A40"/>
  </w:style>
  <w:style w:type="character" w:customStyle="1" w:styleId="FooterChar">
    <w:name w:val="Footer Char"/>
    <w:basedOn w:val="a0"/>
    <w:link w:val="Footer"/>
    <w:uiPriority w:val="99"/>
    <w:rsid w:val="00260A4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60A40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60A40"/>
  </w:style>
  <w:style w:type="table" w:styleId="a7">
    <w:name w:val="Table Grid"/>
    <w:basedOn w:val="a1"/>
    <w:uiPriority w:val="59"/>
    <w:rsid w:val="00260A4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0A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0A4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60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0A4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0A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8"/>
    <w:uiPriority w:val="99"/>
    <w:rsid w:val="00260A40"/>
    <w:rPr>
      <w:sz w:val="18"/>
    </w:rPr>
  </w:style>
  <w:style w:type="character" w:styleId="a9">
    <w:name w:val="footnote reference"/>
    <w:basedOn w:val="a0"/>
    <w:uiPriority w:val="99"/>
    <w:unhideWhenUsed/>
    <w:rsid w:val="00260A40"/>
    <w:rPr>
      <w:vertAlign w:val="superscript"/>
    </w:rPr>
  </w:style>
  <w:style w:type="character" w:customStyle="1" w:styleId="EndnoteTextChar">
    <w:name w:val="Endnote Text Char"/>
    <w:link w:val="aa"/>
    <w:uiPriority w:val="99"/>
    <w:rsid w:val="00260A40"/>
    <w:rPr>
      <w:sz w:val="20"/>
    </w:rPr>
  </w:style>
  <w:style w:type="character" w:styleId="ab">
    <w:name w:val="endnote reference"/>
    <w:basedOn w:val="a0"/>
    <w:uiPriority w:val="99"/>
    <w:semiHidden/>
    <w:unhideWhenUsed/>
    <w:rsid w:val="00260A4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60A40"/>
    <w:pPr>
      <w:spacing w:after="57"/>
    </w:pPr>
  </w:style>
  <w:style w:type="paragraph" w:styleId="20">
    <w:name w:val="toc 2"/>
    <w:basedOn w:val="a"/>
    <w:next w:val="a"/>
    <w:uiPriority w:val="39"/>
    <w:unhideWhenUsed/>
    <w:rsid w:val="00260A4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60A4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60A4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60A4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60A4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60A4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60A4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60A40"/>
    <w:pPr>
      <w:spacing w:after="57"/>
      <w:ind w:left="2268"/>
    </w:pPr>
  </w:style>
  <w:style w:type="paragraph" w:styleId="ac">
    <w:name w:val="TOC Heading"/>
    <w:uiPriority w:val="39"/>
    <w:unhideWhenUsed/>
    <w:rsid w:val="00260A40"/>
  </w:style>
  <w:style w:type="paragraph" w:styleId="ad">
    <w:name w:val="table of figures"/>
    <w:basedOn w:val="a"/>
    <w:next w:val="a"/>
    <w:uiPriority w:val="99"/>
    <w:unhideWhenUsed/>
    <w:rsid w:val="00260A40"/>
    <w:pPr>
      <w:spacing w:after="0"/>
    </w:pPr>
  </w:style>
  <w:style w:type="paragraph" w:customStyle="1" w:styleId="Heading1">
    <w:name w:val="Heading 1"/>
    <w:basedOn w:val="a"/>
    <w:next w:val="a"/>
    <w:link w:val="10"/>
    <w:uiPriority w:val="9"/>
    <w:qFormat/>
    <w:rsid w:val="00260A40"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customStyle="1" w:styleId="Heading2">
    <w:name w:val="Heading 2"/>
    <w:basedOn w:val="a"/>
    <w:next w:val="a"/>
    <w:link w:val="21"/>
    <w:uiPriority w:val="9"/>
    <w:unhideWhenUsed/>
    <w:qFormat/>
    <w:rsid w:val="00260A40"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customStyle="1" w:styleId="Heading3">
    <w:name w:val="Heading 3"/>
    <w:basedOn w:val="a"/>
    <w:next w:val="a"/>
    <w:link w:val="30"/>
    <w:uiPriority w:val="9"/>
    <w:unhideWhenUsed/>
    <w:qFormat/>
    <w:rsid w:val="00260A40"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customStyle="1" w:styleId="Heading4">
    <w:name w:val="Heading 4"/>
    <w:basedOn w:val="a"/>
    <w:next w:val="a"/>
    <w:link w:val="40"/>
    <w:uiPriority w:val="9"/>
    <w:unhideWhenUsed/>
    <w:qFormat/>
    <w:rsid w:val="00260A40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Heading5">
    <w:name w:val="Heading 5"/>
    <w:basedOn w:val="a"/>
    <w:next w:val="a"/>
    <w:link w:val="50"/>
    <w:uiPriority w:val="9"/>
    <w:unhideWhenUsed/>
    <w:qFormat/>
    <w:rsid w:val="00260A40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60"/>
    <w:uiPriority w:val="9"/>
    <w:unhideWhenUsed/>
    <w:qFormat/>
    <w:rsid w:val="00260A40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Heading7">
    <w:name w:val="Heading 7"/>
    <w:basedOn w:val="a"/>
    <w:next w:val="a"/>
    <w:link w:val="70"/>
    <w:uiPriority w:val="9"/>
    <w:unhideWhenUsed/>
    <w:qFormat/>
    <w:rsid w:val="00260A40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Heading8">
    <w:name w:val="Heading 8"/>
    <w:basedOn w:val="a"/>
    <w:next w:val="a"/>
    <w:link w:val="80"/>
    <w:uiPriority w:val="9"/>
    <w:unhideWhenUsed/>
    <w:qFormat/>
    <w:rsid w:val="00260A40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customStyle="1" w:styleId="Heading9">
    <w:name w:val="Heading 9"/>
    <w:basedOn w:val="a"/>
    <w:next w:val="a"/>
    <w:link w:val="90"/>
    <w:uiPriority w:val="9"/>
    <w:unhideWhenUsed/>
    <w:qFormat/>
    <w:rsid w:val="00260A40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paragraph" w:styleId="ae">
    <w:name w:val="List Paragraph"/>
    <w:basedOn w:val="a"/>
    <w:uiPriority w:val="34"/>
    <w:qFormat/>
    <w:rsid w:val="00260A4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60A40"/>
    <w:rPr>
      <w:color w:val="0563C1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26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link w:val="af1"/>
    <w:uiPriority w:val="99"/>
    <w:unhideWhenUsed/>
    <w:rsid w:val="0026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Header"/>
    <w:uiPriority w:val="99"/>
    <w:rsid w:val="00260A40"/>
  </w:style>
  <w:style w:type="paragraph" w:customStyle="1" w:styleId="Footer">
    <w:name w:val="Footer"/>
    <w:basedOn w:val="a"/>
    <w:link w:val="af2"/>
    <w:uiPriority w:val="99"/>
    <w:unhideWhenUsed/>
    <w:rsid w:val="00260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Footer"/>
    <w:uiPriority w:val="99"/>
    <w:rsid w:val="00260A40"/>
  </w:style>
  <w:style w:type="character" w:customStyle="1" w:styleId="10">
    <w:name w:val="Заголовок 1 Знак"/>
    <w:basedOn w:val="a0"/>
    <w:link w:val="Heading1"/>
    <w:uiPriority w:val="9"/>
    <w:rsid w:val="00260A40"/>
    <w:rPr>
      <w:rFonts w:ascii="Arial" w:eastAsia="Arial" w:hAnsi="Arial" w:cs="Arial"/>
      <w:sz w:val="40"/>
      <w:szCs w:val="40"/>
      <w:lang w:eastAsia="ru-RU"/>
    </w:rPr>
  </w:style>
  <w:style w:type="character" w:customStyle="1" w:styleId="21">
    <w:name w:val="Заголовок 2 Знак"/>
    <w:basedOn w:val="a0"/>
    <w:link w:val="Heading2"/>
    <w:uiPriority w:val="9"/>
    <w:rsid w:val="00260A40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Heading3"/>
    <w:uiPriority w:val="9"/>
    <w:rsid w:val="00260A40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Heading4"/>
    <w:uiPriority w:val="9"/>
    <w:rsid w:val="00260A40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Heading5"/>
    <w:uiPriority w:val="9"/>
    <w:rsid w:val="00260A40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Heading6"/>
    <w:uiPriority w:val="9"/>
    <w:rsid w:val="00260A40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Heading7"/>
    <w:uiPriority w:val="9"/>
    <w:rsid w:val="00260A40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Heading8"/>
    <w:uiPriority w:val="9"/>
    <w:rsid w:val="00260A40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Heading9"/>
    <w:uiPriority w:val="9"/>
    <w:rsid w:val="00260A40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3">
    <w:name w:val="Название Знак"/>
    <w:basedOn w:val="a0"/>
    <w:link w:val="a4"/>
    <w:uiPriority w:val="10"/>
    <w:rsid w:val="00260A4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4">
    <w:name w:val="Title"/>
    <w:basedOn w:val="a"/>
    <w:next w:val="a"/>
    <w:link w:val="af3"/>
    <w:uiPriority w:val="10"/>
    <w:qFormat/>
    <w:rsid w:val="00260A40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4">
    <w:name w:val="Подзаголовок Знак"/>
    <w:basedOn w:val="a0"/>
    <w:link w:val="a5"/>
    <w:uiPriority w:val="11"/>
    <w:rsid w:val="00260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f4"/>
    <w:uiPriority w:val="11"/>
    <w:qFormat/>
    <w:rsid w:val="00260A40"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Цитата 2 Знак"/>
    <w:basedOn w:val="a0"/>
    <w:link w:val="2"/>
    <w:uiPriority w:val="29"/>
    <w:rsid w:val="00260A4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Quote"/>
    <w:basedOn w:val="a"/>
    <w:next w:val="a"/>
    <w:link w:val="22"/>
    <w:uiPriority w:val="29"/>
    <w:qFormat/>
    <w:rsid w:val="00260A40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6"/>
    <w:uiPriority w:val="30"/>
    <w:rsid w:val="00260A4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6">
    <w:name w:val="Intense Quote"/>
    <w:basedOn w:val="a"/>
    <w:next w:val="a"/>
    <w:link w:val="af5"/>
    <w:uiPriority w:val="30"/>
    <w:qFormat/>
    <w:rsid w:val="00260A4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6">
    <w:name w:val="Текст сноски Знак"/>
    <w:basedOn w:val="a0"/>
    <w:link w:val="a8"/>
    <w:uiPriority w:val="99"/>
    <w:semiHidden/>
    <w:rsid w:val="00260A4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footnote text"/>
    <w:basedOn w:val="a"/>
    <w:link w:val="af6"/>
    <w:uiPriority w:val="99"/>
    <w:semiHidden/>
    <w:unhideWhenUsed/>
    <w:rsid w:val="00260A40"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7">
    <w:name w:val="Текст концевой сноски Знак"/>
    <w:basedOn w:val="a0"/>
    <w:link w:val="aa"/>
    <w:uiPriority w:val="99"/>
    <w:semiHidden/>
    <w:rsid w:val="00260A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f7"/>
    <w:uiPriority w:val="99"/>
    <w:semiHidden/>
    <w:unhideWhenUsed/>
    <w:rsid w:val="0026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uiPriority w:val="1"/>
    <w:qFormat/>
    <w:rsid w:val="00260A4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rsid w:val="00260A4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ind w:left="107" w:right="9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ogin.consultant.ru/link/?req=doc&amp;base=LAW&amp;n=444861&amp;date=09.11.2023&amp;dst=102174&amp;field=134" TargetMode="External"/><Relationship Id="rId18" Type="http://schemas.openxmlformats.org/officeDocument/2006/relationships/hyperlink" Target="https://login.consultant.ru/link/?req=doc&amp;base=LAW&amp;n=426999&amp;date=09.11.2023&amp;dst=100013&amp;field=134" TargetMode="External"/><Relationship Id="rId26" Type="http://schemas.openxmlformats.org/officeDocument/2006/relationships/hyperlink" Target="https://login.consultant.ru/link/?req=doc&amp;base=RLAW926&amp;n=284275&amp;date=09.11.20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76923&amp;date=09.11.2023" TargetMode="Externa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s://login.consultant.ru/link/?req=doc&amp;base=LAW&amp;n=426999&amp;date=09.11.2023&amp;dst=100012&amp;field=134" TargetMode="External"/><Relationship Id="rId25" Type="http://schemas.openxmlformats.org/officeDocument/2006/relationships/hyperlink" Target="https://login.consultant.ru/link/?req=doc&amp;base=LAW&amp;n=449653&amp;date=09.11.2023&amp;dst=100073&amp;field=1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26999&amp;date=09.11.2023&amp;dst=100014&amp;field=134" TargetMode="External"/><Relationship Id="rId20" Type="http://schemas.openxmlformats.org/officeDocument/2006/relationships/hyperlink" Target="https://login.consultant.ru/link/?req=doc&amp;base=RLAW926&amp;n=289147&amp;date=09.11.2023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s://login.consultant.ru/link/?req=doc&amp;base=RLAW926&amp;n=288566&amp;date=09.11.2023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44861&amp;date=09.11.2023" TargetMode="External"/><Relationship Id="rId23" Type="http://schemas.openxmlformats.org/officeDocument/2006/relationships/hyperlink" Target="https://login.consultant.ru/link/?req=doc&amp;base=LAW&amp;n=426999&amp;date=09.11.2023&amp;dst=100010&amp;field=134" TargetMode="External"/><Relationship Id="rId28" Type="http://schemas.openxmlformats.org/officeDocument/2006/relationships/hyperlink" Target="https://login.consultant.ru/link/?req=doc&amp;base=RLAW926&amp;n=268073&amp;date=09.11.2023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eq=doc&amp;base=LAW&amp;n=454028&amp;date=09.11.2023&amp;dst=1187&amp;field=134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444861&amp;date=09.11.2023&amp;dst=102184&amp;field=134" TargetMode="External"/><Relationship Id="rId22" Type="http://schemas.openxmlformats.org/officeDocument/2006/relationships/hyperlink" Target="https://login.consultant.ru/link/?req=doc&amp;base=RLAW926&amp;n=288642&amp;date=09.11.2023" TargetMode="External"/><Relationship Id="rId27" Type="http://schemas.openxmlformats.org/officeDocument/2006/relationships/hyperlink" Target="https://login.consultant.ru/link/?req=doc&amp;base=LAW&amp;n=449650&amp;date=09.11.2023&amp;dst=100339&amp;field=134" TargetMode="Externa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36</Pages>
  <Words>6045</Words>
  <Characters>34459</Characters>
  <Application>Microsoft Office Word</Application>
  <DocSecurity>0</DocSecurity>
  <Lines>287</Lines>
  <Paragraphs>80</Paragraphs>
  <ScaleCrop>false</ScaleCrop>
  <Company>SPecialiST RePack</Company>
  <LinksUpToDate>false</LinksUpToDate>
  <CharactersWithSpaces>40424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2024-04-25T07:24:00Z</dcterms:created>
  <dcterms:modified xsi:type="dcterms:W3CDTF">2024-04-25T07:24:00Z</dcterms:modified>
</cp:coreProperties>
</file>